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Erwin Marion Johnston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 EAST GRAND AVENUE,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TRex Bio, Inc.</w:t>
              </w:r>
            </w:hyperlink>
            <w:r>
              <w:rPr/>
              <w:t xml:space="preserve"> [ </w:t>
            </w:r>
            <w:r>
              <w:rPr>
                <w:rFonts w:ascii="Times;serif" w:hAnsi="Times;serif"/>
                <w:color w:val="0000FF"/>
                <w:sz w:val="24"/>
                <w:shd w:fill="FFFFFF" w:val="clear"/>
              </w:rPr>
              <w:t>TRXB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299,491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05/24/2035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126,681</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459,613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257,266</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is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had a vesting start date of May 25, 2022. 25% of the options vested on May, 25, 2023, and vests in equal monthly installments over 36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had a vesting start date of April 1, 2025 and vests in equal monthly installments over 48 months, subject to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had a vesting start date of February 19, 2026 and vests in equal monthly installments over 48 months, subject to continued service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Hants,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2139097-ex24.htm"/>
      <w:bookmarkStart w:id="3" w:name="ksck0002139097ex24"/>
      <w:bookmarkEnd w:id="2"/>
      <w:bookmarkEnd w:id="3"/>
      <w:r>
        <w:rPr>
          <w:rFonts w:ascii="Times New Roman" w:hAnsi="Times New Roman"/>
          <w:b/>
          <w:color w:val="000000"/>
          <w:sz w:val="20"/>
        </w:rPr>
        <w:t>Exhibit 24</w:t>
      </w:r>
      <w:r>
        <w:br w:type="page"/>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POWER OF ATTORNEY &amp; ATTESTATION OF ELECTRONIC SIGNATURE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constitutes and appoints: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Section 16 Filings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Johnston Erwin, Brandon Hants, or Laura Berner, each acting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officer and/or director of TRex Bio,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4"/>
        </w:rPr>
      </w:pPr>
      <w:r>
        <w:rPr>
          <w:rFonts w:ascii="Times New Roman" w:hAnsi="Times New Roman"/>
          <w:color w:val="000000"/>
          <w:sz w:val="24"/>
        </w:rPr>
        <w:t>do and perform any and all acts for and on behalf of the undersigned that may be necessary or desirable to complete and execute such Form 3, 4, or 5 or Schedule 13D or 13G, complete and execute any amendment or amendments thereto, and timely file such form with United States Securities and Exchange Commission (the “SEC”) and any stock exchange or similar authority; and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Section 16 filing authorities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General Powers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the above named attorneys-in-fact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hereby ratifying and confirming all that each such attorney-in-fact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understand that the Company will retain this document and furnish it to the SEC or its staff, upon their request.</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August 18, 2026.</w:t>
      </w:r>
    </w:p>
    <w:p>
      <w:pPr>
        <w:pStyle w:val="TextBody"/>
        <w:bidi w:val="0"/>
        <w:jc w:val="left"/>
        <w:rPr/>
      </w:pPr>
      <w:r>
        <w:rPr/>
        <w:t> </w:t>
      </w:r>
    </w:p>
    <w:p>
      <w:pPr>
        <w:pStyle w:val="TextBody"/>
        <w:bidi w:val="0"/>
        <w:jc w:val="left"/>
        <w:rPr/>
      </w:pPr>
      <w:r>
        <w:rPr/>
        <w:t> </w:t>
      </w:r>
    </w:p>
    <w:tbl>
      <w:tblPr>
        <w:tblW w:w="3308" w:type="dxa"/>
        <w:jc w:val="left"/>
        <w:tblInd w:w="0" w:type="dxa"/>
        <w:tblLayout w:type="fixed"/>
        <w:tblCellMar>
          <w:top w:w="28" w:type="dxa"/>
          <w:left w:w="28" w:type="dxa"/>
          <w:bottom w:w="28" w:type="dxa"/>
          <w:right w:w="28" w:type="dxa"/>
        </w:tblCellMar>
      </w:tblPr>
      <w:tblGrid>
        <w:gridCol w:w="161"/>
        <w:gridCol w:w="29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/s/ M. Johnston Erwin, Jr.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 Johnston Erwin, Jr.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052" TargetMode="External"/><Relationship Id="rId3" Type="http://schemas.openxmlformats.org/officeDocument/2006/relationships/hyperlink" Target="http://www.sec.gov/cgi-bin/browse-edgar?action=getcompany&amp;CIK=0002139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1000</Words>
  <Characters>5226</Characters>
  <CharactersWithSpaces>6151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