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Zarrin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TREX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 EAST GRAND AVENUE,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TRex Bio, Inc.</w:t>
              </w:r>
            </w:hyperlink>
            <w:r>
              <w:rPr/>
              <w:t xml:space="preserve"> [ </w:t>
            </w:r>
            <w:r>
              <w:rPr>
                <w:rFonts w:ascii="Times;serif" w:hAnsi="Times;serif"/>
                <w:color w:val="0000FF"/>
                <w:sz w:val="24"/>
                <w:shd w:fill="FFFFFF" w:val="clear"/>
              </w:rPr>
              <w:t>TRXB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18,111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05/24/2032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5,264</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04/10/2035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20,913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186,015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66,889</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had a vesting start date of May 25, 2022. 25% of the options vested on May, 25, 2023, and vests as to the remaining shares in equal monthly installments over 36 months, subject to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had a vesting start date of April 1, 2025 and vests in equal monthly installments over 48 months, subject to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had a vesting start date of August 13, 2025 and vests in equal monthly installments over 48 months, subject to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had a vesting start date of February 19, 2026 and vests in equal monthly installments over 48 months, subject to continued service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Hants,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ck0002139097-ex24.htm"/>
      <w:bookmarkStart w:id="3" w:name="ksck0002139097ex24"/>
      <w:bookmarkEnd w:id="2"/>
      <w:bookmarkEnd w:id="3"/>
      <w:r>
        <w:rPr>
          <w:rFonts w:ascii="Times New Roman" w:hAnsi="Times New Roman"/>
          <w:b/>
          <w:color w:val="000000"/>
          <w:sz w:val="20"/>
        </w:rPr>
        <w:t>Exhibit 24</w:t>
      </w:r>
      <w:r>
        <w:br w:type="page"/>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 &amp; ATTESTATION OF ELECTRONIC SIGNATURE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Section 16 Filings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Johnston Erwin, Brandon Hants, or Laura Berner, each acting 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officer and/or director of TRex Bio, Inc. (the “Company”), Forms 3, 4, 5 and any Schedules 13D or 13G in accordance with Section 16(a) of the Securities Exchange Act of 1934, as amended,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do and perform any and all acts for and on behalf of the undersigned that may be necessary or desirable to complete and execute such Form 3, 4, or 5 or Schedule 13D or 13G, complete and execute any amendment or amendments thereto, and timely file such form with United States Securities and Exchange Commission (the “SEC”) and any stock exchange or similar authority; and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Section 16 filing authorities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Powers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hereby grants to the above named attorneys-in-fact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hereby ratifying and confirming all that each such attorney-in-fact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understand that the Company will retain this document and furnish it to the SEC or its staff, upon their request.</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August 24,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947" w:type="dxa"/>
        <w:jc w:val="left"/>
        <w:tblInd w:w="0" w:type="dxa"/>
        <w:tblLayout w:type="fixed"/>
        <w:tblCellMar>
          <w:top w:w="28" w:type="dxa"/>
          <w:left w:w="28" w:type="dxa"/>
          <w:bottom w:w="28" w:type="dxa"/>
          <w:right w:w="28" w:type="dxa"/>
        </w:tblCellMar>
      </w:tblPr>
      <w:tblGrid>
        <w:gridCol w:w="161"/>
        <w:gridCol w:w="1786"/>
      </w:tblGrid>
      <w:tr>
        <w:trPr/>
        <w:tc>
          <w:tcPr>
            <w:tcW w:w="16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Ali Zarrin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Ali Zarrin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774" TargetMode="External"/><Relationship Id="rId3" Type="http://schemas.openxmlformats.org/officeDocument/2006/relationships/hyperlink" Target="http://www.sec.gov/cgi-bin/browse-edgar?action=getcompany&amp;CIK=0002139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1020</Words>
  <Characters>5325</Characters>
  <CharactersWithSpaces>6270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