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492876.xml.htm"/>
      <w:bookmarkStart w:id="1" w:name="kswkform3_179149287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Alexandria Venture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NORTH EUCLID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TRex Bio, Inc.</w:t>
              </w:r>
            </w:hyperlink>
            <w:r>
              <w:rPr/>
              <w:t xml:space="preserve"> [ </w:t>
            </w:r>
            <w:r>
              <w:rPr>
                <w:rFonts w:ascii="Times;serif" w:hAnsi="Times;serif"/>
                <w:color w:val="0000FF"/>
                <w:sz w:val="24"/>
                <w:shd w:fill="FFFFFF" w:val="clear"/>
              </w:rPr>
              <w:t>TRXB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A-3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1,033,541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3,480,387</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preferred stock is convertible into the Issuer's common stock at a ratio of 3.8649 shares of preferred stock to 1 share of common stock at the holder's election and has no expiration date. The preferred stock will automatically convert into common stock upon the closing of the Issuer's initial public offering, for no additional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Marc E. Binda, Chief Financial Officer and Treasurer By: ALEXANDRIA REAL ESTATE EQUITIES, INC., a Maryland corporation,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22024" TargetMode="External"/><Relationship Id="rId3" Type="http://schemas.openxmlformats.org/officeDocument/2006/relationships/hyperlink" Target="http://www.sec.gov/cgi-bin/browse-edgar?action=getcompany&amp;CIK=0002139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480</Words>
  <Characters>2640</Characters>
  <CharactersWithSpaces>3062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