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Kelman Ariella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TREX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269 EAST GRAND AVENUE,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TRex Bio, Inc.</w:t>
              </w:r>
            </w:hyperlink>
            <w:r>
              <w:rPr/>
              <w:t xml:space="preserve"> [ </w:t>
            </w:r>
            <w:r>
              <w:rPr>
                <w:rFonts w:ascii="Times;serif" w:hAnsi="Times;serif"/>
                <w:color w:val="0000FF"/>
                <w:sz w:val="24"/>
                <w:shd w:fill="FFFFFF" w:val="clear"/>
              </w:rPr>
              <w:t>TRXB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213,534</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83,659</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had a vesting start date of March 17, 2025. 25% of the option vested on March 17, 2026, and vests as to the remaining shares in equal monthly installments over 36 months thereafter, subject to continued service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had a vesting start date of February 19, 2026 and vests in equal monthly installments over 48 months, subject to continued service through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Brandon Hants,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0"/>
        </w:rPr>
      </w:pPr>
      <w:bookmarkStart w:id="2" w:name="ck0002139097-ex24.htm"/>
      <w:bookmarkStart w:id="3" w:name="ksck0002139097ex24"/>
      <w:bookmarkEnd w:id="2"/>
      <w:bookmarkEnd w:id="3"/>
      <w:r>
        <w:rPr>
          <w:rFonts w:ascii="Times New Roman" w:hAnsi="Times New Roman"/>
          <w:b/>
          <w:color w:val="000000"/>
          <w:sz w:val="20"/>
        </w:rPr>
        <w:t>Exhibit 24</w:t>
      </w:r>
      <w:r>
        <w:br w:type="page"/>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 &amp; ATTESTATION OF ELECTRONIC SIGNATURE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KNOW ALL BY THESE PRESENTS that the undersigned hereby constitutes and appoints: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Section 16 Filings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Johnston Erwin, Brandon Hants, or Laura Berner, each acting as the undersigned’s true and lawful attorney-in-fact, to:</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officer and/or director of TRex Bio, Inc. (the “Company”), Forms 3, 4, 5 and any Schedules 13D or 13G in accordance with Section 16(a) of the Securities Exchange Act of 1934, as amended, and the rules thereunder;</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do and perform any and all acts for and on behalf of the undersigned that may be necessary or desirable to complete and execute such Form 3, 4, or 5 or Schedule 13D or 13G, complete and execute any amendment or amendments thereto, and timely file such form with United States Securities and Exchange Commission (the “SEC”) and any stock exchange or similar authority; and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Section 16 filing authorities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General Powers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hereby grants to the above named attorneys-in-fact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hereby ratifying and confirming all that each such attorney-in-fact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understand that the Company will retain this document and furnish it to the SEC or its staff, upon their request.</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August 18, 2026.</w:t>
      </w:r>
    </w:p>
    <w:p>
      <w:pPr>
        <w:pStyle w:val="TextBody"/>
        <w:bidi w:val="0"/>
        <w:jc w:val="left"/>
        <w:rPr/>
      </w:pPr>
      <w:r>
        <w:rPr/>
        <w:t> </w:t>
      </w:r>
    </w:p>
    <w:p>
      <w:pPr>
        <w:pStyle w:val="TextBody"/>
        <w:bidi w:val="0"/>
        <w:jc w:val="left"/>
        <w:rPr/>
      </w:pPr>
      <w:r>
        <w:rPr/>
        <w:t> </w:t>
      </w:r>
    </w:p>
    <w:tbl>
      <w:tblPr>
        <w:tblW w:w="2603" w:type="dxa"/>
        <w:jc w:val="left"/>
        <w:tblInd w:w="0" w:type="dxa"/>
        <w:tblLayout w:type="fixed"/>
        <w:tblCellMar>
          <w:top w:w="28" w:type="dxa"/>
          <w:left w:w="28" w:type="dxa"/>
          <w:bottom w:w="28" w:type="dxa"/>
          <w:right w:w="28" w:type="dxa"/>
        </w:tblCellMar>
      </w:tblPr>
      <w:tblGrid>
        <w:gridCol w:w="161"/>
        <w:gridCol w:w="225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Ariella Kelman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Ariella Kelman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055" TargetMode="External"/><Relationship Id="rId3" Type="http://schemas.openxmlformats.org/officeDocument/2006/relationships/hyperlink" Target="http://www.sec.gov/cgi-bin/browse-edgar?action=getcompany&amp;CIK=00021390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932</Words>
  <Characters>4914</Characters>
  <CharactersWithSpaces>5788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